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A85808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3A1446">
        <w:rPr>
          <w:rFonts w:ascii="Segoe UI" w:hAnsi="Segoe UI" w:cs="Segoe UI"/>
          <w:b/>
          <w:noProof/>
          <w:sz w:val="28"/>
          <w:szCs w:val="28"/>
          <w:lang w:eastAsia="sk-SK"/>
        </w:rPr>
        <w:t>7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3A1446">
        <w:rPr>
          <w:rFonts w:ascii="Segoe UI" w:hAnsi="Segoe UI" w:cs="Segoe UI"/>
          <w:b/>
          <w:noProof/>
          <w:sz w:val="28"/>
          <w:szCs w:val="28"/>
          <w:lang w:eastAsia="sk-SK"/>
        </w:rPr>
        <w:t>5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3A1446" w:rsidP="003A1446">
      <w:pPr>
        <w:shd w:val="clear" w:color="auto" w:fill="FFFFFF"/>
        <w:tabs>
          <w:tab w:val="left" w:pos="1110"/>
        </w:tabs>
        <w:spacing w:after="240" w:line="240" w:lineRule="atLeast"/>
        <w:contextualSpacing/>
        <w:jc w:val="center"/>
        <w:rPr>
          <w:rFonts w:cs="Times New Roman"/>
          <w:b/>
          <w:bCs/>
          <w:caps/>
          <w:color w:val="000000"/>
          <w:shd w:val="clear" w:color="auto" w:fill="FFFFFF"/>
        </w:rPr>
      </w:pPr>
      <w:r w:rsidRPr="003A1446">
        <w:rPr>
          <w:rFonts w:cs="Times New Roman"/>
          <w:b/>
          <w:bCs/>
          <w:caps/>
          <w:color w:val="000000"/>
          <w:shd w:val="clear" w:color="auto" w:fill="FFFFFF"/>
        </w:rPr>
        <w:t>В ТОМСКОЙ ОБЛАСТИ СИСТЕМА МЕЖВЕДОМСТВЕННОГО ЭЛЕКТРОННОГО ВЗАИМОДЕЙСТВИЯ УСКОРИЛА ПРОЦЕСС ОКАЗАНИИ ГОСУСЛУГ</w:t>
      </w:r>
    </w:p>
    <w:p w:rsidR="003A1446" w:rsidRDefault="003A1446" w:rsidP="003A1446">
      <w:pPr>
        <w:shd w:val="clear" w:color="auto" w:fill="FFFFFF"/>
        <w:tabs>
          <w:tab w:val="left" w:pos="1110"/>
        </w:tabs>
        <w:spacing w:after="240" w:line="240" w:lineRule="atLeast"/>
        <w:contextualSpacing/>
        <w:jc w:val="center"/>
        <w:rPr>
          <w:rFonts w:cs="Times New Roman"/>
          <w:b/>
          <w:bCs/>
          <w:caps/>
          <w:color w:val="000000"/>
          <w:shd w:val="clear" w:color="auto" w:fill="FFFFFF"/>
        </w:rPr>
      </w:pPr>
    </w:p>
    <w:p w:rsidR="003A1446" w:rsidRDefault="003A1446" w:rsidP="003A1446">
      <w:pPr>
        <w:shd w:val="clear" w:color="auto" w:fill="FFFFFF"/>
        <w:tabs>
          <w:tab w:val="left" w:pos="1110"/>
        </w:tabs>
        <w:spacing w:after="240" w:line="240" w:lineRule="atLeast"/>
        <w:contextualSpacing/>
        <w:jc w:val="center"/>
        <w:rPr>
          <w:rFonts w:cs="Times New Roman"/>
          <w:b/>
          <w:bCs/>
          <w:caps/>
          <w:color w:val="000000"/>
          <w:shd w:val="clear" w:color="auto" w:fill="FFFFFF"/>
        </w:rPr>
      </w:pPr>
    </w:p>
    <w:p w:rsidR="003A1446" w:rsidRPr="003A1446" w:rsidRDefault="003A1446" w:rsidP="003A1446">
      <w:pPr>
        <w:shd w:val="clear" w:color="auto" w:fill="FFFFFF"/>
        <w:tabs>
          <w:tab w:val="left" w:pos="1110"/>
        </w:tabs>
        <w:spacing w:after="240" w:line="240" w:lineRule="atLeast"/>
        <w:contextualSpacing/>
        <w:jc w:val="center"/>
        <w:rPr>
          <w:rFonts w:cs="Times New Roman"/>
          <w:b/>
          <w:bCs/>
          <w:caps/>
          <w:color w:val="000000"/>
          <w:shd w:val="clear" w:color="auto" w:fill="FFFFFF"/>
        </w:rPr>
      </w:pPr>
    </w:p>
    <w:p w:rsidR="003A1446" w:rsidRPr="003A1446" w:rsidRDefault="003A1446" w:rsidP="003A1446">
      <w:pPr>
        <w:widowControl/>
        <w:shd w:val="clear" w:color="auto" w:fill="FFFFFF"/>
        <w:suppressAutoHyphens w:val="0"/>
        <w:spacing w:after="225"/>
        <w:jc w:val="both"/>
        <w:rPr>
          <w:rFonts w:eastAsia="Times New Roman" w:cs="Times New Roman"/>
          <w:color w:val="777777"/>
          <w:kern w:val="0"/>
          <w:lang w:eastAsia="ru-RU" w:bidi="ar-SA"/>
        </w:rPr>
      </w:pPr>
      <w:r w:rsidRPr="003A1446">
        <w:rPr>
          <w:rFonts w:eastAsia="Times New Roman" w:cs="Times New Roman"/>
          <w:color w:val="000000"/>
          <w:kern w:val="0"/>
          <w:lang w:eastAsia="ru-RU" w:bidi="ar-SA"/>
        </w:rPr>
        <w:t>По запросам органов государственной власти и органов местного самоуправления с начала 2018 года было выдано более 27 тыс. выписок об основных характеристиках и зарегистрированных правах на объекты недвижимости. По сравнению с аналогичным периодом прошлого года показатели увеличились на 6,8 тыс.</w:t>
      </w:r>
    </w:p>
    <w:p w:rsidR="003A1446" w:rsidRPr="003A1446" w:rsidRDefault="003A1446" w:rsidP="003A1446">
      <w:pPr>
        <w:widowControl/>
        <w:shd w:val="clear" w:color="auto" w:fill="FFFFFF"/>
        <w:suppressAutoHyphens w:val="0"/>
        <w:spacing w:after="225"/>
        <w:jc w:val="both"/>
        <w:rPr>
          <w:rFonts w:eastAsia="Times New Roman" w:cs="Times New Roman"/>
          <w:color w:val="777777"/>
          <w:kern w:val="0"/>
          <w:lang w:eastAsia="ru-RU" w:bidi="ar-SA"/>
        </w:rPr>
      </w:pPr>
      <w:r w:rsidRPr="003A1446">
        <w:rPr>
          <w:rFonts w:eastAsia="Times New Roman" w:cs="Times New Roman"/>
          <w:color w:val="000000"/>
          <w:kern w:val="0"/>
          <w:lang w:eastAsia="ru-RU" w:bidi="ar-SA"/>
        </w:rPr>
        <w:t>Кадастровая палата по Томской области ежедневно предоставляет сведения по многочисленным запросам организаций и органов, участвующих в оказании государственных и муниципальных услуг, проводит мероприятия, направленные на повышение уровня межведомственного электронного взаимодействия с органами власти и органами местного самоуправления в сфере кадастрового учёта и регистрации прав.</w:t>
      </w:r>
    </w:p>
    <w:p w:rsidR="003A1446" w:rsidRPr="003A1446" w:rsidRDefault="003A1446" w:rsidP="003A1446">
      <w:pPr>
        <w:widowControl/>
        <w:shd w:val="clear" w:color="auto" w:fill="FFFFFF"/>
        <w:suppressAutoHyphens w:val="0"/>
        <w:spacing w:after="225"/>
        <w:jc w:val="both"/>
        <w:rPr>
          <w:rFonts w:eastAsia="Times New Roman" w:cs="Times New Roman"/>
          <w:color w:val="777777"/>
          <w:kern w:val="0"/>
          <w:lang w:eastAsia="ru-RU" w:bidi="ar-SA"/>
        </w:rPr>
      </w:pPr>
      <w:r w:rsidRPr="003A1446">
        <w:rPr>
          <w:rFonts w:eastAsia="Times New Roman" w:cs="Times New Roman"/>
          <w:color w:val="000000"/>
          <w:kern w:val="0"/>
          <w:lang w:eastAsia="ru-RU" w:bidi="ar-SA"/>
        </w:rPr>
        <w:t xml:space="preserve">По оценке специалистов, система межведомственного электронного взаимодействия значительно сокращает время оформления документов, повышает качество оказываемых услуг. Жители Томской области по достоинству оценивают преимущества системы межведомственного электронного взаимодействия. </w:t>
      </w:r>
      <w:proofErr w:type="gramStart"/>
      <w:r w:rsidRPr="003A1446">
        <w:rPr>
          <w:rFonts w:eastAsia="Times New Roman" w:cs="Times New Roman"/>
          <w:color w:val="000000"/>
          <w:kern w:val="0"/>
          <w:lang w:eastAsia="ru-RU" w:bidi="ar-SA"/>
        </w:rPr>
        <w:t>Теперь им не требуется представлять такие документы, как решение органа власти о переводе жилого помещения в нежилое, нежилого в жилое и прочие.</w:t>
      </w:r>
      <w:proofErr w:type="gramEnd"/>
      <w:r w:rsidRPr="003A1446">
        <w:rPr>
          <w:rFonts w:eastAsia="Times New Roman" w:cs="Times New Roman"/>
          <w:color w:val="000000"/>
          <w:kern w:val="0"/>
          <w:lang w:eastAsia="ru-RU" w:bidi="ar-SA"/>
        </w:rPr>
        <w:t> Работники Кадастровой палаты с помощью системы межведомственного электронного взаимодействия самостоятельно запрашивают документы в органы государственной власти или органы местного самоуправления.</w:t>
      </w:r>
    </w:p>
    <w:p w:rsidR="003A1446" w:rsidRDefault="003A1446" w:rsidP="003A1446">
      <w:pPr>
        <w:shd w:val="clear" w:color="auto" w:fill="FFFFFF"/>
        <w:tabs>
          <w:tab w:val="left" w:pos="1110"/>
        </w:tabs>
        <w:spacing w:after="240" w:line="240" w:lineRule="atLeast"/>
        <w:contextualSpacing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6A6411">
      <w:pPr>
        <w:pStyle w:val="ad"/>
        <w:jc w:val="center"/>
      </w:pPr>
    </w:p>
    <w:p w:rsidR="0060522C" w:rsidRPr="00393488" w:rsidRDefault="00C0130D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C0130D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t xml:space="preserve">Пресс-служба филиала ФГБУ «ФКП </w:t>
      </w:r>
      <w:proofErr w:type="spellStart"/>
      <w:r w:rsidRPr="001C6022">
        <w:rPr>
          <w:iCs/>
          <w:color w:val="auto"/>
        </w:rPr>
        <w:t>Росреестра</w:t>
      </w:r>
      <w:proofErr w:type="spellEnd"/>
      <w:r w:rsidRPr="001C6022">
        <w:rPr>
          <w:iCs/>
          <w:color w:val="auto"/>
        </w:rPr>
        <w:t>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DB" w:rsidRDefault="000F76DB">
      <w:r>
        <w:separator/>
      </w:r>
    </w:p>
  </w:endnote>
  <w:endnote w:type="continuationSeparator" w:id="0">
    <w:p w:rsidR="000F76DB" w:rsidRDefault="000F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C0130D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3A1446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DB" w:rsidRDefault="000F76DB">
      <w:r>
        <w:separator/>
      </w:r>
    </w:p>
  </w:footnote>
  <w:footnote w:type="continuationSeparator" w:id="0">
    <w:p w:rsidR="000F76DB" w:rsidRDefault="000F7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5DD8"/>
    <w:rsid w:val="000972A0"/>
    <w:rsid w:val="00097FDA"/>
    <w:rsid w:val="000B0B54"/>
    <w:rsid w:val="000C617A"/>
    <w:rsid w:val="000D710D"/>
    <w:rsid w:val="000E05A1"/>
    <w:rsid w:val="000E2535"/>
    <w:rsid w:val="000E38D9"/>
    <w:rsid w:val="000E41A6"/>
    <w:rsid w:val="000E6993"/>
    <w:rsid w:val="000F607A"/>
    <w:rsid w:val="000F6379"/>
    <w:rsid w:val="000F76DB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2F7502"/>
    <w:rsid w:val="00300514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1446"/>
    <w:rsid w:val="003A297A"/>
    <w:rsid w:val="003A6305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6678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7BFA"/>
    <w:rsid w:val="004E4EC4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5200E"/>
    <w:rsid w:val="00560865"/>
    <w:rsid w:val="005618AD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53C1"/>
    <w:rsid w:val="00607B24"/>
    <w:rsid w:val="006130E1"/>
    <w:rsid w:val="006148A3"/>
    <w:rsid w:val="00620790"/>
    <w:rsid w:val="00620879"/>
    <w:rsid w:val="0062172C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24DD"/>
    <w:rsid w:val="00695E35"/>
    <w:rsid w:val="006A6411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9513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E605A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3083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4D7F"/>
    <w:rsid w:val="0090164C"/>
    <w:rsid w:val="009063D5"/>
    <w:rsid w:val="00907EF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28D4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A062B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5633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6655"/>
    <w:rsid w:val="00C0130D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FA7"/>
    <w:rsid w:val="00D32543"/>
    <w:rsid w:val="00D37D78"/>
    <w:rsid w:val="00D4167F"/>
    <w:rsid w:val="00D47707"/>
    <w:rsid w:val="00D54C33"/>
    <w:rsid w:val="00D551DD"/>
    <w:rsid w:val="00D63DA2"/>
    <w:rsid w:val="00D82F22"/>
    <w:rsid w:val="00D8573F"/>
    <w:rsid w:val="00D928E9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6D7C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5CD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E0BC9-25C6-4951-8B8C-97756AB9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2</cp:revision>
  <cp:lastPrinted>2018-04-18T01:58:00Z</cp:lastPrinted>
  <dcterms:created xsi:type="dcterms:W3CDTF">2018-05-17T02:54:00Z</dcterms:created>
  <dcterms:modified xsi:type="dcterms:W3CDTF">2018-05-17T02:54:00Z</dcterms:modified>
</cp:coreProperties>
</file>